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324A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55A020B" w14:textId="77777777" w:rsidTr="6A1F1A2D">
        <w:trPr>
          <w:tblHeader/>
        </w:trPr>
        <w:tc>
          <w:tcPr>
            <w:tcW w:w="610" w:type="dxa"/>
          </w:tcPr>
          <w:p w14:paraId="793B254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6D124AA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71C66FC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4BB55B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1D5779A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43C0E" w14:paraId="21EF65DF" w14:textId="77777777" w:rsidTr="6A1F1A2D">
        <w:tc>
          <w:tcPr>
            <w:tcW w:w="610" w:type="dxa"/>
          </w:tcPr>
          <w:p w14:paraId="190D5B8F" w14:textId="77777777" w:rsidR="00354571" w:rsidRDefault="00354571"/>
          <w:p w14:paraId="307E3539" w14:textId="77777777" w:rsidR="00354571" w:rsidRDefault="00354571"/>
        </w:tc>
        <w:tc>
          <w:tcPr>
            <w:tcW w:w="900" w:type="dxa"/>
          </w:tcPr>
          <w:p w14:paraId="74CC8EFD" w14:textId="77777777" w:rsidR="00354571" w:rsidRDefault="00354571"/>
        </w:tc>
        <w:tc>
          <w:tcPr>
            <w:tcW w:w="5648" w:type="dxa"/>
          </w:tcPr>
          <w:p w14:paraId="66968475" w14:textId="77777777" w:rsidR="00354571" w:rsidRDefault="00354571">
            <w:pPr>
              <w:jc w:val="both"/>
            </w:pPr>
          </w:p>
          <w:p w14:paraId="1FE27CC0" w14:textId="4AD57EB4" w:rsidR="00AB425B" w:rsidRDefault="009356C4">
            <w:pPr>
              <w:rPr>
                <w:rFonts w:cs="Arial"/>
              </w:rPr>
            </w:pPr>
            <w:r>
              <w:rPr>
                <w:rFonts w:cs="Arial"/>
              </w:rPr>
              <w:t>Subwoofer</w:t>
            </w:r>
            <w:r w:rsidR="00AB425B">
              <w:rPr>
                <w:rFonts w:cs="Arial"/>
              </w:rPr>
              <w:t>-V</w:t>
            </w:r>
            <w:r>
              <w:rPr>
                <w:rFonts w:cs="Arial"/>
              </w:rPr>
              <w:t>erbindung</w:t>
            </w:r>
            <w:r w:rsidR="007E66C0" w:rsidRPr="6A1F1A2D">
              <w:rPr>
                <w:rFonts w:cs="Arial"/>
              </w:rPr>
              <w:t xml:space="preserve"> </w:t>
            </w:r>
            <w:r w:rsidR="007601D8" w:rsidRPr="6A1F1A2D">
              <w:rPr>
                <w:rFonts w:cs="Arial"/>
              </w:rPr>
              <w:t>passend zu</w:t>
            </w:r>
            <w:r w:rsidR="004D74D0">
              <w:rPr>
                <w:rFonts w:cs="Arial"/>
              </w:rPr>
              <w:t xml:space="preserve"> PL-</w:t>
            </w:r>
            <w:r>
              <w:rPr>
                <w:rFonts w:cs="Arial"/>
              </w:rPr>
              <w:t>SUB15 Subwoofer</w:t>
            </w:r>
            <w:r w:rsidR="004D74D0">
              <w:rPr>
                <w:rFonts w:cs="Arial"/>
              </w:rPr>
              <w:t xml:space="preserve"> und</w:t>
            </w:r>
            <w:r w:rsidR="007601D8" w:rsidRPr="6A1F1A2D">
              <w:rPr>
                <w:rFonts w:cs="Arial"/>
              </w:rPr>
              <w:t xml:space="preserve"> </w:t>
            </w:r>
            <w:r w:rsidR="003C18DA">
              <w:rPr>
                <w:rFonts w:cs="Arial"/>
              </w:rPr>
              <w:t>PL-</w:t>
            </w:r>
            <w:r>
              <w:rPr>
                <w:rFonts w:cs="Arial"/>
              </w:rPr>
              <w:t>CA1</w:t>
            </w:r>
            <w:r w:rsidR="00872103">
              <w:rPr>
                <w:rFonts w:cs="Arial"/>
              </w:rPr>
              <w:t>2</w:t>
            </w:r>
            <w:r w:rsidR="4641D272" w:rsidRPr="6A1F1A2D">
              <w:rPr>
                <w:rFonts w:cs="Arial"/>
              </w:rPr>
              <w:t xml:space="preserve"> </w:t>
            </w:r>
            <w:r w:rsidR="0062530A">
              <w:rPr>
                <w:rFonts w:cs="Arial"/>
              </w:rPr>
              <w:t>Punktquellen-Lautsprecher</w:t>
            </w:r>
            <w:r w:rsidR="006A387D">
              <w:rPr>
                <w:rFonts w:cs="Arial"/>
              </w:rPr>
              <w:t xml:space="preserve"> </w:t>
            </w:r>
            <w:proofErr w:type="gramStart"/>
            <w:r w:rsidR="006A387D">
              <w:rPr>
                <w:rFonts w:cs="Arial"/>
              </w:rPr>
              <w:t>in stehender</w:t>
            </w:r>
            <w:proofErr w:type="gramEnd"/>
            <w:r w:rsidR="006A387D">
              <w:rPr>
                <w:rFonts w:cs="Arial"/>
              </w:rPr>
              <w:t xml:space="preserve"> oder geflogener Montage</w:t>
            </w:r>
            <w:r w:rsidR="1E6210D9" w:rsidRPr="6A1F1A2D">
              <w:rPr>
                <w:rFonts w:cs="Arial"/>
              </w:rPr>
              <w:t>.</w:t>
            </w:r>
            <w:r w:rsidR="001D0273">
              <w:rPr>
                <w:rFonts w:cs="Arial"/>
              </w:rPr>
              <w:t xml:space="preserve"> Für die Subwoofer</w:t>
            </w:r>
            <w:r w:rsidR="00BB21C0">
              <w:rPr>
                <w:rFonts w:cs="Arial"/>
              </w:rPr>
              <w:t>-V</w:t>
            </w:r>
            <w:r w:rsidR="001D0273">
              <w:rPr>
                <w:rFonts w:cs="Arial"/>
              </w:rPr>
              <w:t xml:space="preserve">erbindung zwischen PL-SUB15 und </w:t>
            </w:r>
            <w:r w:rsidR="00723CB7">
              <w:rPr>
                <w:rFonts w:cs="Arial"/>
              </w:rPr>
              <w:t>PL-CA12 Punktquellen-Lautsprecher</w:t>
            </w:r>
            <w:r w:rsidR="00F502EE">
              <w:rPr>
                <w:rFonts w:cs="Arial"/>
              </w:rPr>
              <w:t xml:space="preserve"> für die fliegende Montage</w:t>
            </w:r>
            <w:r w:rsidR="00723CB7">
              <w:rPr>
                <w:rFonts w:cs="Arial"/>
              </w:rPr>
              <w:t xml:space="preserve"> ist der separat erhältliche PL-SUB</w:t>
            </w:r>
            <w:r w:rsidR="00751F13">
              <w:rPr>
                <w:rFonts w:cs="Arial"/>
              </w:rPr>
              <w:t>15-AF Montagebügel notwendig. Eine Nutzung der Subwoofer</w:t>
            </w:r>
            <w:r w:rsidR="00BB21C0">
              <w:rPr>
                <w:rFonts w:cs="Arial"/>
              </w:rPr>
              <w:t>-V</w:t>
            </w:r>
            <w:r w:rsidR="00AB425B">
              <w:rPr>
                <w:rFonts w:cs="Arial"/>
              </w:rPr>
              <w:t>erbindung bei PL-SUB15 Subwoofern, die mit M10-Flugösen montiert wurden, ist nicht zulässig.</w:t>
            </w:r>
          </w:p>
          <w:p w14:paraId="641CCC7F" w14:textId="77777777" w:rsidR="00AB425B" w:rsidRDefault="00AB425B">
            <w:pPr>
              <w:rPr>
                <w:rFonts w:cs="Arial"/>
              </w:rPr>
            </w:pPr>
          </w:p>
          <w:p w14:paraId="335F9CB0" w14:textId="52FD7CB1" w:rsidR="00445AC3" w:rsidRDefault="4692456B">
            <w:pPr>
              <w:rPr>
                <w:rFonts w:cs="Arial"/>
              </w:rPr>
            </w:pPr>
            <w:r w:rsidRPr="6A1F1A2D">
              <w:rPr>
                <w:rFonts w:cs="Arial"/>
              </w:rPr>
              <w:t>D</w:t>
            </w:r>
            <w:r w:rsidR="00E74D36" w:rsidRPr="6A1F1A2D">
              <w:rPr>
                <w:rFonts w:cs="Arial"/>
              </w:rPr>
              <w:t xml:space="preserve">ie Konstruktion </w:t>
            </w:r>
            <w:r w:rsidR="000A7433" w:rsidRPr="6A1F1A2D">
              <w:rPr>
                <w:rFonts w:cs="Arial"/>
              </w:rPr>
              <w:t>best</w:t>
            </w:r>
            <w:r w:rsidR="00E74D36" w:rsidRPr="6A1F1A2D">
              <w:rPr>
                <w:rFonts w:cs="Arial"/>
              </w:rPr>
              <w:t xml:space="preserve">eht aus pulverbeschichtetem </w:t>
            </w:r>
            <w:r w:rsidR="000A70C7">
              <w:rPr>
                <w:rFonts w:cs="Arial"/>
              </w:rPr>
              <w:t xml:space="preserve">verzinktem </w:t>
            </w:r>
            <w:r w:rsidR="001F06F2" w:rsidRPr="6A1F1A2D">
              <w:rPr>
                <w:rFonts w:cs="Arial"/>
              </w:rPr>
              <w:t>Stahl</w:t>
            </w:r>
            <w:r w:rsidR="001E0C65">
              <w:rPr>
                <w:rFonts w:cs="Arial"/>
              </w:rPr>
              <w:t xml:space="preserve"> und </w:t>
            </w:r>
            <w:r w:rsidR="00603924" w:rsidRPr="00603924">
              <w:rPr>
                <w:rFonts w:cs="Arial"/>
              </w:rPr>
              <w:t xml:space="preserve">verfügt </w:t>
            </w:r>
            <w:r w:rsidR="005615ED">
              <w:rPr>
                <w:rFonts w:cs="Arial"/>
              </w:rPr>
              <w:t>zwei Montageplatten</w:t>
            </w:r>
            <w:r w:rsidR="00893BE2">
              <w:rPr>
                <w:rFonts w:cs="Arial"/>
              </w:rPr>
              <w:t>, die</w:t>
            </w:r>
            <w:r w:rsidR="007B7267">
              <w:rPr>
                <w:rFonts w:cs="Arial"/>
              </w:rPr>
              <w:t xml:space="preserve"> mit jeweils zwei M8-Innensechskant-Senkkopfschrauben</w:t>
            </w:r>
            <w:r w:rsidR="00893BE2">
              <w:rPr>
                <w:rFonts w:cs="Arial"/>
              </w:rPr>
              <w:t xml:space="preserve"> seitlich am </w:t>
            </w:r>
            <w:r w:rsidR="00BB21C0">
              <w:rPr>
                <w:rFonts w:cs="Arial"/>
              </w:rPr>
              <w:t xml:space="preserve">PL-SUB15 </w:t>
            </w:r>
            <w:r w:rsidR="00893BE2">
              <w:rPr>
                <w:rFonts w:cs="Arial"/>
              </w:rPr>
              <w:t>Subwoofer angebracht werden und dann die Halterung für den PL-CA12 Punktquellen</w:t>
            </w:r>
            <w:r w:rsidR="00BB21C0">
              <w:rPr>
                <w:rFonts w:cs="Arial"/>
              </w:rPr>
              <w:t>-L</w:t>
            </w:r>
            <w:r w:rsidR="00893BE2">
              <w:rPr>
                <w:rFonts w:cs="Arial"/>
              </w:rPr>
              <w:t>autsprecher</w:t>
            </w:r>
            <w:r w:rsidR="00CC4BDE">
              <w:rPr>
                <w:rFonts w:cs="Arial"/>
              </w:rPr>
              <w:t xml:space="preserve"> mit zwei M8-Innensechskant-Senkkopfschrauben</w:t>
            </w:r>
            <w:r w:rsidR="00893BE2">
              <w:rPr>
                <w:rFonts w:cs="Arial"/>
              </w:rPr>
              <w:t xml:space="preserve"> unter dem Subwoofer bildet</w:t>
            </w:r>
            <w:r w:rsidR="007B1F4A">
              <w:rPr>
                <w:rFonts w:cs="Arial"/>
              </w:rPr>
              <w:t xml:space="preserve">. </w:t>
            </w:r>
          </w:p>
          <w:p w14:paraId="21A2B938" w14:textId="77777777" w:rsidR="00BB21C0" w:rsidRDefault="00BB21C0">
            <w:pPr>
              <w:rPr>
                <w:rFonts w:cs="Arial"/>
              </w:rPr>
            </w:pPr>
          </w:p>
          <w:p w14:paraId="37717BDE" w14:textId="1C6A029D" w:rsidR="00DD4FDC" w:rsidRDefault="00715211">
            <w:pPr>
              <w:rPr>
                <w:rFonts w:cs="Arial"/>
              </w:rPr>
            </w:pPr>
            <w:r>
              <w:rPr>
                <w:rFonts w:cs="Arial"/>
              </w:rPr>
              <w:t>Die Subwoofer</w:t>
            </w:r>
            <w:r w:rsidR="00BB21C0">
              <w:rPr>
                <w:rFonts w:cs="Arial"/>
              </w:rPr>
              <w:t>-V</w:t>
            </w:r>
            <w:r>
              <w:rPr>
                <w:rFonts w:cs="Arial"/>
              </w:rPr>
              <w:t>erbindung bietet zwei</w:t>
            </w:r>
            <w:r w:rsidR="004A2FE4">
              <w:rPr>
                <w:rFonts w:cs="Arial"/>
              </w:rPr>
              <w:t xml:space="preserve"> Optionen für die Anbindung des PL-CA12 Punktquellen</w:t>
            </w:r>
            <w:r w:rsidR="00BB21C0">
              <w:rPr>
                <w:rFonts w:cs="Arial"/>
              </w:rPr>
              <w:t>-L</w:t>
            </w:r>
            <w:r w:rsidR="004A2FE4">
              <w:rPr>
                <w:rFonts w:cs="Arial"/>
              </w:rPr>
              <w:t xml:space="preserve">autsprechers an den </w:t>
            </w:r>
            <w:r w:rsidR="00437D10">
              <w:rPr>
                <w:rFonts w:cs="Arial"/>
              </w:rPr>
              <w:t>PL-SUB15 Subwoofer</w:t>
            </w:r>
            <w:r w:rsidR="00470CE9">
              <w:rPr>
                <w:rFonts w:cs="Arial"/>
              </w:rPr>
              <w:t xml:space="preserve">, über ein </w:t>
            </w:r>
            <w:r w:rsidR="006B606F">
              <w:rPr>
                <w:rFonts w:cs="Arial"/>
              </w:rPr>
              <w:t>Loch</w:t>
            </w:r>
            <w:r w:rsidR="00E51521">
              <w:rPr>
                <w:rFonts w:cs="Arial"/>
              </w:rPr>
              <w:t xml:space="preserve"> oder über einen</w:t>
            </w:r>
            <w:r w:rsidR="00670DEC">
              <w:rPr>
                <w:rFonts w:cs="Arial"/>
              </w:rPr>
              <w:t xml:space="preserve"> Einschub</w:t>
            </w:r>
            <w:r w:rsidR="00437D10">
              <w:rPr>
                <w:rFonts w:cs="Arial"/>
              </w:rPr>
              <w:t>:</w:t>
            </w:r>
          </w:p>
          <w:p w14:paraId="31693234" w14:textId="38B5781B" w:rsidR="00B91296" w:rsidRDefault="000A293F" w:rsidP="000A293F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0A293F">
              <w:rPr>
                <w:rFonts w:cs="Arial"/>
              </w:rPr>
              <w:t>Bei Verwendung des Lochs</w:t>
            </w:r>
            <w:r>
              <w:rPr>
                <w:rFonts w:cs="Arial"/>
              </w:rPr>
              <w:t xml:space="preserve"> </w:t>
            </w:r>
            <w:r w:rsidR="005E23B5">
              <w:rPr>
                <w:rFonts w:cs="Arial"/>
              </w:rPr>
              <w:t>wird der PL-CA12 Punktquellen</w:t>
            </w:r>
            <w:r w:rsidR="00FD5328">
              <w:rPr>
                <w:rFonts w:cs="Arial"/>
              </w:rPr>
              <w:t>-L</w:t>
            </w:r>
            <w:r w:rsidR="005E23B5">
              <w:rPr>
                <w:rFonts w:cs="Arial"/>
              </w:rPr>
              <w:t>autsprecher dank seines trapezförmigen Gehäuses mit einem festen</w:t>
            </w:r>
            <w:r w:rsidR="008D0152">
              <w:rPr>
                <w:rFonts w:cs="Arial"/>
              </w:rPr>
              <w:t xml:space="preserve"> vertikalen</w:t>
            </w:r>
            <w:r w:rsidR="005E23B5">
              <w:rPr>
                <w:rFonts w:cs="Arial"/>
              </w:rPr>
              <w:t xml:space="preserve"> Winkel </w:t>
            </w:r>
            <w:r w:rsidR="00FD5328">
              <w:rPr>
                <w:rFonts w:cs="Arial"/>
              </w:rPr>
              <w:t>unter</w:t>
            </w:r>
            <w:r w:rsidR="00B91296">
              <w:rPr>
                <w:rFonts w:cs="Arial"/>
              </w:rPr>
              <w:t xml:space="preserve"> bzw. auf</w:t>
            </w:r>
            <w:r w:rsidR="00FD5328">
              <w:rPr>
                <w:rFonts w:cs="Arial"/>
              </w:rPr>
              <w:t xml:space="preserve"> dem PL-SUB15 montiert</w:t>
            </w:r>
            <w:r w:rsidR="00B91296">
              <w:rPr>
                <w:rFonts w:cs="Arial"/>
              </w:rPr>
              <w:t>:</w:t>
            </w:r>
          </w:p>
          <w:p w14:paraId="7757BDA2" w14:textId="3D0DB429" w:rsidR="006B6495" w:rsidRDefault="006B6495" w:rsidP="000A293F">
            <w:pPr>
              <w:rPr>
                <w:rFonts w:cs="Arial"/>
              </w:rPr>
            </w:pPr>
            <w:r>
              <w:rPr>
                <w:rFonts w:cs="Arial"/>
              </w:rPr>
              <w:tab/>
              <w:t>+26° (stehend)</w:t>
            </w:r>
          </w:p>
          <w:p w14:paraId="1BF3BD46" w14:textId="6A4A1277" w:rsidR="006B6495" w:rsidRDefault="006B6495" w:rsidP="000A293F">
            <w:pPr>
              <w:rPr>
                <w:rFonts w:cs="Arial"/>
              </w:rPr>
            </w:pPr>
            <w:r>
              <w:rPr>
                <w:rFonts w:cs="Arial"/>
              </w:rPr>
              <w:tab/>
              <w:t>-26° (geflogen)</w:t>
            </w:r>
          </w:p>
          <w:p w14:paraId="7BF594A8" w14:textId="2BE0C1A0" w:rsidR="00FD5328" w:rsidRDefault="00FD5328" w:rsidP="000A293F">
            <w:pPr>
              <w:rPr>
                <w:rFonts w:cs="Arial"/>
              </w:rPr>
            </w:pPr>
            <w:r>
              <w:rPr>
                <w:rFonts w:cs="Arial"/>
              </w:rPr>
              <w:t xml:space="preserve">- Bei Verwendung des Einschubs kann der PL-CA12 Punktquellen-Lautsprecher </w:t>
            </w:r>
            <w:r w:rsidR="008D0152">
              <w:rPr>
                <w:rFonts w:cs="Arial"/>
              </w:rPr>
              <w:t>mit einem</w:t>
            </w:r>
            <w:r w:rsidR="006B6495">
              <w:rPr>
                <w:rFonts w:cs="Arial"/>
              </w:rPr>
              <w:t xml:space="preserve"> variablen</w:t>
            </w:r>
            <w:r w:rsidR="008D0152">
              <w:rPr>
                <w:rFonts w:cs="Arial"/>
              </w:rPr>
              <w:t xml:space="preserve"> Freiheitsgrad </w:t>
            </w:r>
            <w:r w:rsidR="006B6495">
              <w:rPr>
                <w:rFonts w:cs="Arial"/>
              </w:rPr>
              <w:t>i</w:t>
            </w:r>
            <w:r w:rsidR="006C5F42">
              <w:rPr>
                <w:rFonts w:cs="Arial"/>
              </w:rPr>
              <w:t>n der vertikalen Ausrichtung unter</w:t>
            </w:r>
            <w:r w:rsidR="006B6495">
              <w:rPr>
                <w:rFonts w:cs="Arial"/>
              </w:rPr>
              <w:t xml:space="preserve"> bzw. auf</w:t>
            </w:r>
            <w:r w:rsidR="006C5F42">
              <w:rPr>
                <w:rFonts w:cs="Arial"/>
              </w:rPr>
              <w:t xml:space="preserve"> dem PL-SUB15 angebracht werden</w:t>
            </w:r>
            <w:r w:rsidR="006B6495">
              <w:rPr>
                <w:rFonts w:cs="Arial"/>
              </w:rPr>
              <w:t>:</w:t>
            </w:r>
          </w:p>
          <w:p w14:paraId="1C83169A" w14:textId="32613F4D" w:rsidR="00276CC6" w:rsidRDefault="00276CC6" w:rsidP="000A293F">
            <w:pPr>
              <w:rPr>
                <w:rFonts w:cs="Arial"/>
              </w:rPr>
            </w:pPr>
            <w:r>
              <w:rPr>
                <w:rFonts w:cs="Arial"/>
              </w:rPr>
              <w:tab/>
              <w:t>-5° bis 40° (stehend)</w:t>
            </w:r>
          </w:p>
          <w:p w14:paraId="75E29361" w14:textId="25B0FAFD" w:rsidR="00276CC6" w:rsidRPr="000A293F" w:rsidRDefault="00276CC6" w:rsidP="000A293F">
            <w:pPr>
              <w:rPr>
                <w:rFonts w:cs="Arial"/>
              </w:rPr>
            </w:pPr>
            <w:r>
              <w:rPr>
                <w:rFonts w:cs="Arial"/>
              </w:rPr>
              <w:tab/>
              <w:t>-40° bis 5° (geflogen)</w:t>
            </w:r>
          </w:p>
          <w:p w14:paraId="4EC7E6F1" w14:textId="77777777" w:rsidR="001F06F2" w:rsidRPr="001F06F2" w:rsidRDefault="001F06F2">
            <w:pPr>
              <w:rPr>
                <w:rFonts w:cs="Arial"/>
              </w:rPr>
            </w:pPr>
          </w:p>
          <w:p w14:paraId="65F3907A" w14:textId="0CDE3F1C" w:rsidR="00756FDF" w:rsidRPr="00E43C0E" w:rsidRDefault="00756FDF" w:rsidP="00753153">
            <w:pPr>
              <w:tabs>
                <w:tab w:val="right" w:pos="5294"/>
              </w:tabs>
            </w:pPr>
            <w:r>
              <w:t>Gewicht:</w:t>
            </w:r>
            <w:r w:rsidR="4C382BAB">
              <w:t xml:space="preserve"> </w:t>
            </w:r>
            <w:r w:rsidR="00563CBE">
              <w:tab/>
            </w:r>
            <w:r w:rsidR="00397B11">
              <w:t>1</w:t>
            </w:r>
            <w:r w:rsidR="00F86111">
              <w:t>,</w:t>
            </w:r>
            <w:r w:rsidR="00397B11">
              <w:t>3</w:t>
            </w:r>
            <w:r w:rsidR="00563CBE">
              <w:t xml:space="preserve"> </w:t>
            </w:r>
            <w:r>
              <w:t>kg</w:t>
            </w:r>
            <w:r>
              <w:br/>
              <w:t>Farbe:</w:t>
            </w:r>
            <w:r w:rsidR="1787563E">
              <w:t xml:space="preserve"> </w:t>
            </w:r>
            <w:r w:rsidR="00563CBE">
              <w:tab/>
              <w:t>schwarz</w:t>
            </w:r>
          </w:p>
          <w:p w14:paraId="4BFA8BDC" w14:textId="77777777" w:rsidR="00E43C0E" w:rsidRDefault="00E43C0E" w:rsidP="00E43C0E">
            <w:pPr>
              <w:tabs>
                <w:tab w:val="right" w:pos="4250"/>
              </w:tabs>
            </w:pPr>
          </w:p>
          <w:p w14:paraId="65D45435" w14:textId="230176CF" w:rsidR="00354571" w:rsidRPr="00E43C0E" w:rsidRDefault="1787563E" w:rsidP="00E43C0E">
            <w:pPr>
              <w:tabs>
                <w:tab w:val="right" w:pos="4250"/>
              </w:tabs>
              <w:rPr>
                <w:lang w:val="en-US"/>
              </w:rPr>
            </w:pPr>
            <w:r w:rsidRPr="587F6171">
              <w:rPr>
                <w:lang w:val="en-US"/>
              </w:rPr>
              <w:t>Marke</w:t>
            </w:r>
            <w:r w:rsidR="00354571" w:rsidRPr="587F6171">
              <w:rPr>
                <w:lang w:val="en-US"/>
              </w:rPr>
              <w:t xml:space="preserve">: </w:t>
            </w:r>
            <w:r w:rsidR="00B81F03" w:rsidRPr="587F6171">
              <w:rPr>
                <w:lang w:val="en-US"/>
              </w:rPr>
              <w:t>Q</w:t>
            </w:r>
            <w:r w:rsidR="004600A3" w:rsidRPr="587F6171">
              <w:rPr>
                <w:lang w:val="en-US"/>
              </w:rPr>
              <w:t>SC</w:t>
            </w:r>
            <w:r w:rsidR="00354571">
              <w:br/>
            </w:r>
            <w:proofErr w:type="spellStart"/>
            <w:r w:rsidR="004600A3" w:rsidRPr="587F6171">
              <w:rPr>
                <w:lang w:val="en-US"/>
              </w:rPr>
              <w:t>T</w:t>
            </w:r>
            <w:r w:rsidR="00354571" w:rsidRPr="587F6171">
              <w:rPr>
                <w:lang w:val="en-US"/>
              </w:rPr>
              <w:t>yp</w:t>
            </w:r>
            <w:proofErr w:type="spellEnd"/>
            <w:r w:rsidR="00354571" w:rsidRPr="587F6171">
              <w:rPr>
                <w:lang w:val="en-US"/>
              </w:rPr>
              <w:t xml:space="preserve">: </w:t>
            </w:r>
            <w:r w:rsidR="009356C4" w:rsidRPr="009356C4">
              <w:rPr>
                <w:lang w:val="en-US"/>
              </w:rPr>
              <w:t>PL-CA12-LK</w:t>
            </w:r>
          </w:p>
          <w:p w14:paraId="1DAF5491" w14:textId="77777777" w:rsidR="00E43C0E" w:rsidRPr="00E43C0E" w:rsidRDefault="00E43C0E" w:rsidP="00E43C0E">
            <w:pPr>
              <w:tabs>
                <w:tab w:val="right" w:pos="425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14:paraId="6A4BF3F3" w14:textId="77777777" w:rsidR="00354571" w:rsidRPr="00E43C0E" w:rsidRDefault="00354571">
            <w:pPr>
              <w:rPr>
                <w:lang w:val="en-US"/>
              </w:rPr>
            </w:pPr>
          </w:p>
        </w:tc>
        <w:tc>
          <w:tcPr>
            <w:tcW w:w="1318" w:type="dxa"/>
          </w:tcPr>
          <w:p w14:paraId="7EDA90BC" w14:textId="77777777" w:rsidR="00354571" w:rsidRPr="00E43C0E" w:rsidRDefault="00354571">
            <w:pPr>
              <w:rPr>
                <w:lang w:val="en-US"/>
              </w:rPr>
            </w:pPr>
          </w:p>
        </w:tc>
      </w:tr>
    </w:tbl>
    <w:p w14:paraId="7823F34D" w14:textId="77777777" w:rsidR="00354571" w:rsidRPr="00E43C0E" w:rsidRDefault="00354571" w:rsidP="00F86111">
      <w:pPr>
        <w:rPr>
          <w:lang w:val="en-US"/>
        </w:rPr>
      </w:pPr>
    </w:p>
    <w:sectPr w:rsidR="00354571" w:rsidRPr="00E43C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B06B" w14:textId="77777777" w:rsidR="00126DEE" w:rsidRDefault="00126DEE" w:rsidP="00F223BA">
      <w:r>
        <w:separator/>
      </w:r>
    </w:p>
  </w:endnote>
  <w:endnote w:type="continuationSeparator" w:id="0">
    <w:p w14:paraId="2A4B2062" w14:textId="77777777" w:rsidR="00126DEE" w:rsidRDefault="00126DEE" w:rsidP="00F2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9371" w14:textId="77777777" w:rsidR="009964A3" w:rsidRDefault="009964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21C2" w14:textId="4DF84F1B" w:rsidR="00F223BA" w:rsidRDefault="004D6748">
    <w:pPr>
      <w:pStyle w:val="Fuzeile"/>
    </w:pPr>
    <w:r w:rsidRPr="006F67AF">
      <w:t xml:space="preserve">© QSC EMEA GmbH – Stand </w:t>
    </w:r>
    <w:r w:rsidR="009964A3">
      <w:t>0</w:t>
    </w:r>
    <w:r w:rsidRPr="006F67AF">
      <w:t>1/202</w:t>
    </w:r>
    <w:r w:rsidR="009964A3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58C9" w14:textId="77777777" w:rsidR="009964A3" w:rsidRDefault="009964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7C4E" w14:textId="77777777" w:rsidR="00126DEE" w:rsidRDefault="00126DEE" w:rsidP="00F223BA">
      <w:r>
        <w:separator/>
      </w:r>
    </w:p>
  </w:footnote>
  <w:footnote w:type="continuationSeparator" w:id="0">
    <w:p w14:paraId="507C23BF" w14:textId="77777777" w:rsidR="00126DEE" w:rsidRDefault="00126DEE" w:rsidP="00F2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60E7" w14:textId="77777777" w:rsidR="009964A3" w:rsidRDefault="009964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0A12" w14:textId="77777777" w:rsidR="009964A3" w:rsidRDefault="009964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455C" w14:textId="77777777" w:rsidR="009964A3" w:rsidRDefault="009964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C5039"/>
    <w:multiLevelType w:val="hybridMultilevel"/>
    <w:tmpl w:val="A0EE6CD0"/>
    <w:lvl w:ilvl="0" w:tplc="9D14B0A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09567">
    <w:abstractNumId w:val="0"/>
  </w:num>
  <w:num w:numId="2" w16cid:durableId="492839836">
    <w:abstractNumId w:val="1"/>
  </w:num>
  <w:num w:numId="3" w16cid:durableId="1125923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5517"/>
    <w:rsid w:val="000162BE"/>
    <w:rsid w:val="00025B3A"/>
    <w:rsid w:val="000277B9"/>
    <w:rsid w:val="00047273"/>
    <w:rsid w:val="00070278"/>
    <w:rsid w:val="000A293F"/>
    <w:rsid w:val="000A70C7"/>
    <w:rsid w:val="000A7433"/>
    <w:rsid w:val="000B7336"/>
    <w:rsid w:val="000C2CDA"/>
    <w:rsid w:val="000E2067"/>
    <w:rsid w:val="000E3FE9"/>
    <w:rsid w:val="000E44E9"/>
    <w:rsid w:val="00126DEE"/>
    <w:rsid w:val="00165344"/>
    <w:rsid w:val="001B471E"/>
    <w:rsid w:val="001D0273"/>
    <w:rsid w:val="001E0105"/>
    <w:rsid w:val="001E0C65"/>
    <w:rsid w:val="001F06F2"/>
    <w:rsid w:val="001F2B02"/>
    <w:rsid w:val="002165C3"/>
    <w:rsid w:val="00260174"/>
    <w:rsid w:val="00264275"/>
    <w:rsid w:val="00267BB6"/>
    <w:rsid w:val="00273695"/>
    <w:rsid w:val="00276CC6"/>
    <w:rsid w:val="00282064"/>
    <w:rsid w:val="0028399E"/>
    <w:rsid w:val="002A1D45"/>
    <w:rsid w:val="002D7FAF"/>
    <w:rsid w:val="002F7018"/>
    <w:rsid w:val="00354571"/>
    <w:rsid w:val="003974C4"/>
    <w:rsid w:val="00397B11"/>
    <w:rsid w:val="003A1A9F"/>
    <w:rsid w:val="003A6E79"/>
    <w:rsid w:val="003B3239"/>
    <w:rsid w:val="003C18DA"/>
    <w:rsid w:val="003E30FC"/>
    <w:rsid w:val="00437D10"/>
    <w:rsid w:val="00441C05"/>
    <w:rsid w:val="00442C61"/>
    <w:rsid w:val="00444431"/>
    <w:rsid w:val="00445AC3"/>
    <w:rsid w:val="00454D70"/>
    <w:rsid w:val="004600A3"/>
    <w:rsid w:val="00470CE9"/>
    <w:rsid w:val="00493BC1"/>
    <w:rsid w:val="004A2FE4"/>
    <w:rsid w:val="004D4104"/>
    <w:rsid w:val="004D6748"/>
    <w:rsid w:val="004D74D0"/>
    <w:rsid w:val="004E4ED8"/>
    <w:rsid w:val="004F3062"/>
    <w:rsid w:val="00546996"/>
    <w:rsid w:val="0055374E"/>
    <w:rsid w:val="005615ED"/>
    <w:rsid w:val="00563CBE"/>
    <w:rsid w:val="00566004"/>
    <w:rsid w:val="0056712A"/>
    <w:rsid w:val="00582790"/>
    <w:rsid w:val="005B4F6E"/>
    <w:rsid w:val="005E23B5"/>
    <w:rsid w:val="00603924"/>
    <w:rsid w:val="00605A50"/>
    <w:rsid w:val="0060718C"/>
    <w:rsid w:val="0062530A"/>
    <w:rsid w:val="00643359"/>
    <w:rsid w:val="00652766"/>
    <w:rsid w:val="00670DEC"/>
    <w:rsid w:val="00671B99"/>
    <w:rsid w:val="006733F5"/>
    <w:rsid w:val="0069115C"/>
    <w:rsid w:val="006A2F65"/>
    <w:rsid w:val="006A387D"/>
    <w:rsid w:val="006B606F"/>
    <w:rsid w:val="006B6495"/>
    <w:rsid w:val="006C5F42"/>
    <w:rsid w:val="006E7D96"/>
    <w:rsid w:val="00710E96"/>
    <w:rsid w:val="00715211"/>
    <w:rsid w:val="00723CB7"/>
    <w:rsid w:val="00751F13"/>
    <w:rsid w:val="00753153"/>
    <w:rsid w:val="00756FDF"/>
    <w:rsid w:val="007601D8"/>
    <w:rsid w:val="00786F58"/>
    <w:rsid w:val="007A69DC"/>
    <w:rsid w:val="007B1F4A"/>
    <w:rsid w:val="007B7267"/>
    <w:rsid w:val="007E66C0"/>
    <w:rsid w:val="007F012B"/>
    <w:rsid w:val="007F1075"/>
    <w:rsid w:val="00851540"/>
    <w:rsid w:val="00872103"/>
    <w:rsid w:val="00893BE2"/>
    <w:rsid w:val="00895132"/>
    <w:rsid w:val="008B05A1"/>
    <w:rsid w:val="008B6828"/>
    <w:rsid w:val="008D0152"/>
    <w:rsid w:val="008D3BEC"/>
    <w:rsid w:val="008D5C1C"/>
    <w:rsid w:val="008E04D8"/>
    <w:rsid w:val="008E27B8"/>
    <w:rsid w:val="008E5A53"/>
    <w:rsid w:val="009356C4"/>
    <w:rsid w:val="00941775"/>
    <w:rsid w:val="009879EE"/>
    <w:rsid w:val="009916FE"/>
    <w:rsid w:val="009964A3"/>
    <w:rsid w:val="009E2753"/>
    <w:rsid w:val="009F42AC"/>
    <w:rsid w:val="009F50B0"/>
    <w:rsid w:val="00A0117F"/>
    <w:rsid w:val="00A14130"/>
    <w:rsid w:val="00A43348"/>
    <w:rsid w:val="00A51093"/>
    <w:rsid w:val="00A56A9E"/>
    <w:rsid w:val="00A81FFD"/>
    <w:rsid w:val="00AA1C36"/>
    <w:rsid w:val="00AB425B"/>
    <w:rsid w:val="00AF3ACC"/>
    <w:rsid w:val="00B75BC0"/>
    <w:rsid w:val="00B77BF9"/>
    <w:rsid w:val="00B81F03"/>
    <w:rsid w:val="00B91296"/>
    <w:rsid w:val="00BA163F"/>
    <w:rsid w:val="00BA37D0"/>
    <w:rsid w:val="00BB21C0"/>
    <w:rsid w:val="00BD1CF8"/>
    <w:rsid w:val="00BD5079"/>
    <w:rsid w:val="00BF462B"/>
    <w:rsid w:val="00BF5035"/>
    <w:rsid w:val="00C031CC"/>
    <w:rsid w:val="00C1280A"/>
    <w:rsid w:val="00C178FC"/>
    <w:rsid w:val="00C540A0"/>
    <w:rsid w:val="00C72E85"/>
    <w:rsid w:val="00C848CA"/>
    <w:rsid w:val="00C954FC"/>
    <w:rsid w:val="00CA4CB3"/>
    <w:rsid w:val="00CC4BDE"/>
    <w:rsid w:val="00CD3D3A"/>
    <w:rsid w:val="00CE2D61"/>
    <w:rsid w:val="00CF612F"/>
    <w:rsid w:val="00D059CC"/>
    <w:rsid w:val="00D14A28"/>
    <w:rsid w:val="00D304B1"/>
    <w:rsid w:val="00D30934"/>
    <w:rsid w:val="00D316A5"/>
    <w:rsid w:val="00D36385"/>
    <w:rsid w:val="00D52587"/>
    <w:rsid w:val="00D558D5"/>
    <w:rsid w:val="00D608FE"/>
    <w:rsid w:val="00D65111"/>
    <w:rsid w:val="00D66435"/>
    <w:rsid w:val="00DC3450"/>
    <w:rsid w:val="00DD4FDC"/>
    <w:rsid w:val="00DD64D7"/>
    <w:rsid w:val="00DE1FF8"/>
    <w:rsid w:val="00E022B3"/>
    <w:rsid w:val="00E142E7"/>
    <w:rsid w:val="00E43C0E"/>
    <w:rsid w:val="00E46E50"/>
    <w:rsid w:val="00E51521"/>
    <w:rsid w:val="00E5691C"/>
    <w:rsid w:val="00E74D36"/>
    <w:rsid w:val="00E846B4"/>
    <w:rsid w:val="00ED0995"/>
    <w:rsid w:val="00ED4169"/>
    <w:rsid w:val="00EF1DC0"/>
    <w:rsid w:val="00F223BA"/>
    <w:rsid w:val="00F310BE"/>
    <w:rsid w:val="00F42C1F"/>
    <w:rsid w:val="00F502EE"/>
    <w:rsid w:val="00F579C2"/>
    <w:rsid w:val="00F86111"/>
    <w:rsid w:val="00F97015"/>
    <w:rsid w:val="00FB7566"/>
    <w:rsid w:val="00FD5328"/>
    <w:rsid w:val="00FF08A3"/>
    <w:rsid w:val="00FF7F6B"/>
    <w:rsid w:val="1787563E"/>
    <w:rsid w:val="1B971BBE"/>
    <w:rsid w:val="1E6210D9"/>
    <w:rsid w:val="21E56C90"/>
    <w:rsid w:val="2757856D"/>
    <w:rsid w:val="27713FDB"/>
    <w:rsid w:val="27E2CD65"/>
    <w:rsid w:val="32F71BA2"/>
    <w:rsid w:val="34853C34"/>
    <w:rsid w:val="3A6A3C2C"/>
    <w:rsid w:val="432620B2"/>
    <w:rsid w:val="43A41203"/>
    <w:rsid w:val="4641D272"/>
    <w:rsid w:val="4692456B"/>
    <w:rsid w:val="4C382BAB"/>
    <w:rsid w:val="587F6171"/>
    <w:rsid w:val="5AFBF068"/>
    <w:rsid w:val="60C5DCB6"/>
    <w:rsid w:val="617BC441"/>
    <w:rsid w:val="640F099C"/>
    <w:rsid w:val="6A1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EB1F7"/>
  <w15:chartTrackingRefBased/>
  <w15:docId w15:val="{DFDE40E6-760B-46F3-8D23-B5220B57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22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223B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F22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223BA"/>
    <w:rPr>
      <w:rFonts w:ascii="Arial" w:hAnsi="Arial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0A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PL-CA12-LK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1095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PL-CA12-LK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PL-CA12-LK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PL-CA12-LK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80F8C40-853F-47E1-B723-4B1C4733AF79}"/>
</file>

<file path=customXml/itemProps2.xml><?xml version="1.0" encoding="utf-8"?>
<ds:datastoreItem xmlns:ds="http://schemas.openxmlformats.org/officeDocument/2006/customXml" ds:itemID="{BC6868E5-CF71-4473-BFA0-E811B338CB21}"/>
</file>

<file path=customXml/itemProps3.xml><?xml version="1.0" encoding="utf-8"?>
<ds:datastoreItem xmlns:ds="http://schemas.openxmlformats.org/officeDocument/2006/customXml" ds:itemID="{872BC063-A0DB-4E3C-B1CB-7EBFD92E5F74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8E8A0E48-B307-4975-B4B2-791D2DDFAF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1305</Characters>
  <Application>Microsoft Office Word</Application>
  <DocSecurity>0</DocSecurity>
  <Lines>10</Lines>
  <Paragraphs>2</Paragraphs>
  <ScaleCrop>false</ScaleCrop>
  <Company>SHURE Europe GmbH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q_spk_PL-CA12_lk_archEngSpecs_de.docx</dc:title>
  <dc:subject/>
  <dc:creator>Clemens Sturm</dc:creator>
  <cp:keywords/>
  <dc:description/>
  <cp:lastModifiedBy>Sven Schuhen</cp:lastModifiedBy>
  <cp:revision>45</cp:revision>
  <dcterms:created xsi:type="dcterms:W3CDTF">2025-01-21T10:10:00Z</dcterms:created>
  <dcterms:modified xsi:type="dcterms:W3CDTF">2025-01-22T09:38:00Z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5" name="docLang">
    <vt:lpwstr>de</vt:lpwstr>
  </property>
</Properties>
</file>